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7EF" w:rsidRPr="00AA278E" w:rsidRDefault="00AA278E" w:rsidP="00AA278E">
      <w:pPr>
        <w:rPr>
          <w:rFonts w:ascii="Times New Roman" w:hAnsi="Times New Roman" w:cs="Times New Roman"/>
          <w:sz w:val="24"/>
          <w:szCs w:val="24"/>
        </w:rPr>
      </w:pPr>
      <w:r w:rsidRPr="009E7AD5">
        <w:rPr>
          <w:rFonts w:ascii="Arial" w:hAnsi="Arial" w:cs="Arial"/>
          <w:noProof/>
          <w:lang w:val="en-US"/>
        </w:rPr>
        <w:drawing>
          <wp:inline distT="0" distB="0" distL="0" distR="0" wp14:anchorId="57B53C63" wp14:editId="5EDA78CE">
            <wp:extent cx="2971800" cy="1657350"/>
            <wp:effectExtent l="0" t="0" r="19050" b="19050"/>
            <wp:docPr id="1" name="Ди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737EF" w:rsidRDefault="009610C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>Fig</w:t>
      </w:r>
      <w:proofErr w:type="spellStart"/>
      <w:r>
        <w:rPr>
          <w:rFonts w:ascii="Arial" w:hAnsi="Arial" w:cs="Arial"/>
          <w:b/>
          <w:sz w:val="16"/>
          <w:szCs w:val="16"/>
          <w:lang w:val="en-US"/>
        </w:rPr>
        <w:t>ure</w:t>
      </w:r>
      <w:proofErr w:type="spellEnd"/>
      <w:r w:rsidR="00B737EF" w:rsidRPr="00220062">
        <w:rPr>
          <w:rFonts w:ascii="Arial" w:hAnsi="Arial" w:cs="Arial"/>
          <w:b/>
          <w:sz w:val="16"/>
          <w:szCs w:val="16"/>
        </w:rPr>
        <w:t xml:space="preserve"> 2.</w:t>
      </w:r>
      <w:r w:rsidR="00B737EF">
        <w:rPr>
          <w:rFonts w:ascii="Arial" w:hAnsi="Arial" w:cs="Arial"/>
          <w:sz w:val="16"/>
          <w:szCs w:val="16"/>
        </w:rPr>
        <w:t xml:space="preserve"> Absorbance of Co-PAR-TS extracts against</w:t>
      </w:r>
    </w:p>
    <w:p w:rsidR="00B737EF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 xml:space="preserve">PAR-TS extracts and </w:t>
      </w:r>
      <w:r w:rsidRPr="000643E8">
        <w:rPr>
          <w:rFonts w:ascii="Arial" w:hAnsi="Arial" w:cs="Arial"/>
          <w:sz w:val="16"/>
          <w:szCs w:val="16"/>
        </w:rPr>
        <w:t>absorbance</w:t>
      </w:r>
      <w:r>
        <w:rPr>
          <w:rFonts w:ascii="Arial" w:hAnsi="Arial" w:cs="Arial"/>
          <w:sz w:val="16"/>
          <w:szCs w:val="16"/>
        </w:rPr>
        <w:t xml:space="preserve"> of PAR-TS against</w:t>
      </w:r>
    </w:p>
    <w:p w:rsidR="00B737EF" w:rsidRPr="00364076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CHCl</w:t>
      </w:r>
      <w:r w:rsidRPr="00770218">
        <w:rPr>
          <w:rFonts w:ascii="Arial" w:hAnsi="Arial" w:cs="Arial"/>
          <w:sz w:val="16"/>
          <w:szCs w:val="16"/>
          <w:vertAlign w:val="subscript"/>
          <w:lang w:val="en-US"/>
        </w:rPr>
        <w:t>3</w:t>
      </w:r>
      <w:r>
        <w:rPr>
          <w:rFonts w:ascii="Arial" w:hAnsi="Arial" w:cs="Arial"/>
          <w:sz w:val="16"/>
          <w:szCs w:val="16"/>
        </w:rPr>
        <w:t xml:space="preserve"> vs.pH of the aqueous phase plots</w:t>
      </w:r>
      <w:r>
        <w:rPr>
          <w:rFonts w:ascii="Arial" w:hAnsi="Arial" w:cs="Arial"/>
          <w:sz w:val="16"/>
          <w:szCs w:val="16"/>
          <w:lang w:val="en-US"/>
        </w:rPr>
        <w:t>:</w:t>
      </w:r>
    </w:p>
    <w:p w:rsidR="00B737EF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  <w:vertAlign w:val="subscript"/>
        </w:rPr>
        <w:t>Co</w:t>
      </w:r>
      <w:r>
        <w:rPr>
          <w:rFonts w:ascii="Arial" w:hAnsi="Arial" w:cs="Arial"/>
          <w:sz w:val="16"/>
          <w:szCs w:val="16"/>
          <w:vertAlign w:val="subscript"/>
          <w:lang w:val="en-US"/>
        </w:rPr>
        <w:t>(II)</w:t>
      </w:r>
      <w:r>
        <w:rPr>
          <w:rFonts w:ascii="Arial" w:hAnsi="Arial" w:cs="Arial"/>
          <w:sz w:val="16"/>
          <w:szCs w:val="16"/>
        </w:rPr>
        <w:t xml:space="preserve"> = 1.7×10</w:t>
      </w:r>
      <w:r>
        <w:rPr>
          <w:rFonts w:ascii="Arial" w:hAnsi="Arial" w:cs="Arial"/>
          <w:sz w:val="16"/>
          <w:szCs w:val="16"/>
          <w:vertAlign w:val="superscript"/>
        </w:rPr>
        <w:t>-5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 C</w:t>
      </w:r>
      <w:r>
        <w:rPr>
          <w:rFonts w:ascii="Arial" w:hAnsi="Arial" w:cs="Arial"/>
          <w:sz w:val="16"/>
          <w:szCs w:val="16"/>
          <w:vertAlign w:val="subscript"/>
        </w:rPr>
        <w:t>PAR</w:t>
      </w:r>
      <w:r>
        <w:rPr>
          <w:rFonts w:ascii="Arial" w:hAnsi="Arial" w:cs="Arial"/>
          <w:sz w:val="16"/>
          <w:szCs w:val="16"/>
        </w:rPr>
        <w:t xml:space="preserve"> = 2.0×10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</w:t>
      </w:r>
    </w:p>
    <w:p w:rsidR="00B737EF" w:rsidRPr="00364076" w:rsidRDefault="00B737EF" w:rsidP="00B737EF">
      <w:pPr>
        <w:spacing w:after="0" w:line="360" w:lineRule="auto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  <w:vertAlign w:val="subscript"/>
        </w:rPr>
        <w:t>MTT</w:t>
      </w:r>
      <w:r>
        <w:rPr>
          <w:rFonts w:ascii="Arial" w:hAnsi="Arial" w:cs="Arial"/>
          <w:sz w:val="16"/>
          <w:szCs w:val="16"/>
        </w:rPr>
        <w:t xml:space="preserve"> = 3.6×10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  <w:r>
        <w:rPr>
          <w:rFonts w:ascii="Arial" w:hAnsi="Arial" w:cs="Arial"/>
          <w:sz w:val="16"/>
          <w:szCs w:val="16"/>
        </w:rPr>
        <w:t>; C</w:t>
      </w:r>
      <w:r>
        <w:rPr>
          <w:rFonts w:ascii="Arial" w:hAnsi="Arial" w:cs="Arial"/>
          <w:sz w:val="16"/>
          <w:szCs w:val="16"/>
          <w:vertAlign w:val="subscript"/>
        </w:rPr>
        <w:t>TV</w:t>
      </w:r>
      <w:r>
        <w:rPr>
          <w:rFonts w:ascii="Arial" w:hAnsi="Arial" w:cs="Arial"/>
          <w:sz w:val="16"/>
          <w:szCs w:val="16"/>
        </w:rPr>
        <w:t xml:space="preserve"> = 3.0×10</w:t>
      </w:r>
      <w:r>
        <w:rPr>
          <w:rFonts w:ascii="Arial" w:hAnsi="Arial" w:cs="Arial"/>
          <w:sz w:val="16"/>
          <w:szCs w:val="16"/>
          <w:vertAlign w:val="superscript"/>
        </w:rPr>
        <w:t>-4</w:t>
      </w:r>
      <w:r>
        <w:rPr>
          <w:rFonts w:ascii="Arial" w:hAnsi="Arial" w:cs="Arial"/>
          <w:sz w:val="16"/>
          <w:szCs w:val="16"/>
        </w:rPr>
        <w:t xml:space="preserve"> mol L</w:t>
      </w:r>
      <w:r>
        <w:rPr>
          <w:rFonts w:ascii="Arial" w:hAnsi="Arial" w:cs="Arial"/>
          <w:sz w:val="16"/>
          <w:szCs w:val="16"/>
          <w:vertAlign w:val="superscript"/>
        </w:rPr>
        <w:t>-1</w:t>
      </w:r>
    </w:p>
    <w:p w:rsidR="00B737EF" w:rsidRPr="00364076" w:rsidRDefault="00B737EF" w:rsidP="00B737E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C1CB0" w:rsidRDefault="005C1CB0"/>
    <w:sectPr w:rsidR="005C1CB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7EF"/>
    <w:rsid w:val="005C1CB0"/>
    <w:rsid w:val="009610CF"/>
    <w:rsid w:val="00AA278E"/>
    <w:rsid w:val="00B7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7EF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EF"/>
    <w:rPr>
      <w:rFonts w:ascii="Tahoma" w:hAnsi="Tahoma" w:cs="Tahoma"/>
      <w:sz w:val="16"/>
      <w:szCs w:val="16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37EF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7EF"/>
    <w:rPr>
      <w:rFonts w:ascii="Tahoma" w:hAnsi="Tahoma" w:cs="Tahoma"/>
      <w:sz w:val="16"/>
      <w:szCs w:val="16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0631274363853747"/>
          <c:y val="5.9165282092032076E-2"/>
          <c:w val="0.73838414428965615"/>
          <c:h val="0.73539734616506269"/>
        </c:manualLayout>
      </c:layout>
      <c:scatterChart>
        <c:scatterStyle val="lineMarker"/>
        <c:varyColors val="0"/>
        <c:ser>
          <c:idx val="0"/>
          <c:order val="0"/>
          <c:tx>
            <c:strRef>
              <c:f>pH!$B$1</c:f>
              <c:strCache>
                <c:ptCount val="1"/>
                <c:pt idx="0">
                  <c:v>(1) Co-PAR-MTT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3"/>
            <c:spPr>
              <a:solidFill>
                <a:srgbClr val="0070C0"/>
              </a:solidFill>
              <a:ln>
                <a:noFill/>
              </a:ln>
            </c:spPr>
          </c:marker>
          <c:trendline>
            <c:spPr>
              <a:ln>
                <a:solidFill>
                  <a:srgbClr val="0070C0"/>
                </a:solidFill>
              </a:ln>
            </c:spPr>
            <c:trendlineType val="poly"/>
            <c:order val="2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pH!$B$2:$B$11</c:f>
              <c:numCache>
                <c:formatCode>General</c:formatCode>
                <c:ptCount val="10"/>
                <c:pt idx="2">
                  <c:v>0.71799999999999997</c:v>
                </c:pt>
                <c:pt idx="3">
                  <c:v>0.8</c:v>
                </c:pt>
                <c:pt idx="4">
                  <c:v>0.85399999999999998</c:v>
                </c:pt>
                <c:pt idx="5">
                  <c:v>0.88700000000000001</c:v>
                </c:pt>
                <c:pt idx="6">
                  <c:v>0.89100000000000001</c:v>
                </c:pt>
                <c:pt idx="7">
                  <c:v>0.87</c:v>
                </c:pt>
                <c:pt idx="8">
                  <c:v>0.80400000000000005</c:v>
                </c:pt>
                <c:pt idx="9">
                  <c:v>0.66600000000000004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pH!$C$1</c:f>
              <c:strCache>
                <c:ptCount val="1"/>
                <c:pt idx="0">
                  <c:v>(2) Co-PAR-TV</c:v>
                </c:pt>
              </c:strCache>
            </c:strRef>
          </c:tx>
          <c:spPr>
            <a:ln w="28575">
              <a:noFill/>
            </a:ln>
          </c:spPr>
          <c:marker>
            <c:symbol val="square"/>
            <c:size val="3"/>
            <c:spPr>
              <a:solidFill>
                <a:srgbClr val="FF0000"/>
              </a:solidFill>
              <a:ln>
                <a:noFill/>
              </a:ln>
            </c:spPr>
          </c:marker>
          <c:trendline>
            <c:spPr>
              <a:ln>
                <a:solidFill>
                  <a:srgbClr val="FF0000"/>
                </a:solidFill>
              </a:ln>
            </c:spPr>
            <c:trendlineType val="poly"/>
            <c:order val="3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pH!$C$2:$C$11</c:f>
              <c:numCache>
                <c:formatCode>General</c:formatCode>
                <c:ptCount val="10"/>
                <c:pt idx="2">
                  <c:v>0.70199999999999996</c:v>
                </c:pt>
                <c:pt idx="3">
                  <c:v>0.84</c:v>
                </c:pt>
                <c:pt idx="4">
                  <c:v>0.871</c:v>
                </c:pt>
                <c:pt idx="5">
                  <c:v>0.93</c:v>
                </c:pt>
                <c:pt idx="6">
                  <c:v>0.92900000000000005</c:v>
                </c:pt>
                <c:pt idx="7">
                  <c:v>0.91100000000000003</c:v>
                </c:pt>
                <c:pt idx="8">
                  <c:v>0.81399999999999995</c:v>
                </c:pt>
                <c:pt idx="9">
                  <c:v>0.752</c:v>
                </c:pt>
              </c:numCache>
            </c:numRef>
          </c:yVal>
          <c:smooth val="0"/>
        </c:ser>
        <c:ser>
          <c:idx val="2"/>
          <c:order val="2"/>
          <c:tx>
            <c:strRef>
              <c:f>pH!$D$1</c:f>
              <c:strCache>
                <c:ptCount val="1"/>
                <c:pt idx="0">
                  <c:v>(3) PAR-MTT</c:v>
                </c:pt>
              </c:strCache>
            </c:strRef>
          </c:tx>
          <c:spPr>
            <a:ln w="28575">
              <a:noFill/>
            </a:ln>
          </c:spPr>
          <c:marker>
            <c:symbol val="triangle"/>
            <c:size val="4"/>
            <c:spPr>
              <a:solidFill>
                <a:srgbClr val="0070C0"/>
              </a:solidFill>
              <a:ln>
                <a:noFill/>
              </a:ln>
            </c:spPr>
          </c:marker>
          <c:trendline>
            <c:spPr>
              <a:ln>
                <a:solidFill>
                  <a:srgbClr val="0070C0"/>
                </a:solidFill>
              </a:ln>
            </c:spPr>
            <c:trendlineType val="poly"/>
            <c:order val="4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pH!$D$2:$D$11</c:f>
              <c:numCache>
                <c:formatCode>General</c:formatCode>
                <c:ptCount val="10"/>
                <c:pt idx="2">
                  <c:v>9.6000000000000002E-2</c:v>
                </c:pt>
                <c:pt idx="3">
                  <c:v>9.7000000000000003E-2</c:v>
                </c:pt>
                <c:pt idx="4">
                  <c:v>0.104</c:v>
                </c:pt>
                <c:pt idx="5">
                  <c:v>0.112</c:v>
                </c:pt>
                <c:pt idx="6">
                  <c:v>0.121</c:v>
                </c:pt>
                <c:pt idx="7">
                  <c:v>0.16200000000000001</c:v>
                </c:pt>
                <c:pt idx="8">
                  <c:v>0.251</c:v>
                </c:pt>
                <c:pt idx="9">
                  <c:v>0.28199999999999997</c:v>
                </c:pt>
              </c:numCache>
            </c:numRef>
          </c:yVal>
          <c:smooth val="0"/>
        </c:ser>
        <c:ser>
          <c:idx val="3"/>
          <c:order val="3"/>
          <c:tx>
            <c:strRef>
              <c:f>pH!$E$1</c:f>
              <c:strCache>
                <c:ptCount val="1"/>
                <c:pt idx="0">
                  <c:v>(4) PAR-TV</c:v>
                </c:pt>
              </c:strCache>
            </c:strRef>
          </c:tx>
          <c:spPr>
            <a:ln w="28575">
              <a:noFill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noFill/>
              </a:ln>
            </c:spPr>
          </c:marker>
          <c:trendline>
            <c:spPr>
              <a:ln>
                <a:solidFill>
                  <a:srgbClr val="FF0000"/>
                </a:solidFill>
              </a:ln>
            </c:spPr>
            <c:trendlineType val="poly"/>
            <c:order val="4"/>
            <c:dispRSqr val="0"/>
            <c:dispEq val="0"/>
          </c:trendline>
          <c:xVal>
            <c:numRef>
              <c:f>pH!$A$2:$A$11</c:f>
              <c:numCache>
                <c:formatCode>General</c:formatCode>
                <c:ptCount val="10"/>
                <c:pt idx="2">
                  <c:v>3.5</c:v>
                </c:pt>
                <c:pt idx="3">
                  <c:v>4</c:v>
                </c:pt>
                <c:pt idx="4">
                  <c:v>4.5</c:v>
                </c:pt>
                <c:pt idx="5">
                  <c:v>5</c:v>
                </c:pt>
                <c:pt idx="6">
                  <c:v>5.5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</c:numCache>
            </c:numRef>
          </c:xVal>
          <c:yVal>
            <c:numRef>
              <c:f>pH!$E$2:$E$11</c:f>
              <c:numCache>
                <c:formatCode>General</c:formatCode>
                <c:ptCount val="10"/>
                <c:pt idx="2">
                  <c:v>9.9000000000000005E-2</c:v>
                </c:pt>
                <c:pt idx="3">
                  <c:v>9.7000000000000003E-2</c:v>
                </c:pt>
                <c:pt idx="4">
                  <c:v>9.0999999999999998E-2</c:v>
                </c:pt>
                <c:pt idx="5">
                  <c:v>9.8000000000000004E-2</c:v>
                </c:pt>
                <c:pt idx="6">
                  <c:v>0.113</c:v>
                </c:pt>
                <c:pt idx="7">
                  <c:v>0.123</c:v>
                </c:pt>
                <c:pt idx="8">
                  <c:v>0.188</c:v>
                </c:pt>
                <c:pt idx="9">
                  <c:v>0.19900000000000001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0484096"/>
        <c:axId val="170486016"/>
      </c:scatterChart>
      <c:valAx>
        <c:axId val="170484096"/>
        <c:scaling>
          <c:orientation val="minMax"/>
          <c:max val="14"/>
          <c:min val="2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pH</a:t>
                </a:r>
                <a:endParaRPr lang="bg-BG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486016"/>
        <c:crosses val="autoZero"/>
        <c:crossBetween val="midCat"/>
        <c:majorUnit val="2"/>
      </c:valAx>
      <c:valAx>
        <c:axId val="170486016"/>
        <c:scaling>
          <c:orientation val="minMax"/>
          <c:max val="1.2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Absorbance</a:t>
                </a:r>
                <a:endParaRPr lang="bg-BG"/>
              </a:p>
            </c:rich>
          </c:tx>
          <c:layout>
            <c:manualLayout>
              <c:xMode val="edge"/>
              <c:yMode val="edge"/>
              <c:x val="6.7427756855607439E-3"/>
              <c:y val="0.22705157841508344"/>
            </c:manualLayout>
          </c:layout>
          <c:overlay val="0"/>
        </c:title>
        <c:numFmt formatCode="#,##0.00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70484096"/>
        <c:crosses val="autoZero"/>
        <c:crossBetween val="midCat"/>
      </c:valAx>
      <c:spPr>
        <a:ln>
          <a:solidFill>
            <a:schemeClr val="tx1"/>
          </a:solidFill>
        </a:ln>
      </c:spPr>
    </c:plotArea>
    <c:legend>
      <c:legendPos val="r"/>
      <c:legendEntry>
        <c:idx val="4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ayout>
        <c:manualLayout>
          <c:xMode val="edge"/>
          <c:yMode val="edge"/>
          <c:x val="0.62943085134492405"/>
          <c:y val="7.979183221363384E-2"/>
          <c:w val="0.31449536501293712"/>
          <c:h val="0.29788946365434316"/>
        </c:manualLayout>
      </c:layout>
      <c:overlay val="0"/>
      <c:txPr>
        <a:bodyPr/>
        <a:lstStyle/>
        <a:p>
          <a:pPr>
            <a:defRPr sz="800"/>
          </a:pPr>
          <a:endParaRPr lang="en-US"/>
        </a:p>
      </c:txPr>
    </c:legend>
    <c:plotVisOnly val="1"/>
    <c:dispBlanksAs val="gap"/>
    <c:showDLblsOverMax val="0"/>
  </c:chart>
  <c:spPr>
    <a:ln>
      <a:solidFill>
        <a:schemeClr val="bg1"/>
      </a:solidFill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Vania</cp:lastModifiedBy>
  <cp:revision>3</cp:revision>
  <dcterms:created xsi:type="dcterms:W3CDTF">2014-03-13T11:21:00Z</dcterms:created>
  <dcterms:modified xsi:type="dcterms:W3CDTF">2014-03-24T07:58:00Z</dcterms:modified>
</cp:coreProperties>
</file>